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Pr="00220FEC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4E2BDD" w:rsidP="004E2BD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South Wales</w:t>
      </w:r>
    </w:p>
    <w:p w:rsidR="00BF1EC3" w:rsidRPr="00220FEC" w:rsidRDefault="00BF1EC3" w:rsidP="00EC5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B91540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992"/>
        <w:gridCol w:w="1112"/>
        <w:gridCol w:w="2007"/>
        <w:gridCol w:w="1081"/>
        <w:gridCol w:w="1328"/>
      </w:tblGrid>
      <w:tr w:rsidR="00276567" w:rsidRPr="002E42CC" w:rsidTr="002114B5">
        <w:tc>
          <w:tcPr>
            <w:tcW w:w="18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2114B5">
        <w:tc>
          <w:tcPr>
            <w:tcW w:w="184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276567" w:rsidRPr="00594664" w:rsidRDefault="00276567" w:rsidP="002114B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2114B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2114B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2114B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4E2BDD" w:rsidRPr="002E42CC" w:rsidTr="002114B5">
        <w:tc>
          <w:tcPr>
            <w:tcW w:w="1844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3,334,857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(59.7%)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3,092,603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(58.9%)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</w:tr>
      <w:tr w:rsidR="004E2BDD" w:rsidRPr="002E42CC" w:rsidTr="002114B5">
        <w:tc>
          <w:tcPr>
            <w:tcW w:w="1844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full-time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2,007,925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(36.0%)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63.3%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36.7%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1,879,628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(35.8%)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36.1%</w:t>
            </w:r>
          </w:p>
        </w:tc>
      </w:tr>
      <w:tr w:rsidR="004E2BDD" w:rsidRPr="002E42CC" w:rsidTr="002114B5">
        <w:tc>
          <w:tcPr>
            <w:tcW w:w="1844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part-time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939,464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(16.8%)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842,714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(16.1%)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67.7%</w:t>
            </w:r>
          </w:p>
        </w:tc>
      </w:tr>
      <w:tr w:rsidR="004E2BDD" w:rsidRPr="002E42CC" w:rsidTr="002114B5">
        <w:tc>
          <w:tcPr>
            <w:tcW w:w="1844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196,525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183,158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45.3%</w:t>
            </w:r>
          </w:p>
        </w:tc>
      </w:tr>
      <w:tr w:rsidR="004E2BDD" w:rsidRPr="002E42CC" w:rsidTr="002114B5">
        <w:tc>
          <w:tcPr>
            <w:tcW w:w="1844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1,933,275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(34.6%)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1,801,010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(34.3%)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39.3%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60.7%</w:t>
            </w:r>
          </w:p>
        </w:tc>
      </w:tr>
      <w:tr w:rsidR="004E2BDD" w:rsidRPr="002E42CC" w:rsidTr="002114B5">
        <w:tc>
          <w:tcPr>
            <w:tcW w:w="184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5,585,148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5,250,260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4E2BDD" w:rsidRDefault="004E2BDD" w:rsidP="004E2BD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59.7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B91540">
        <w:rPr>
          <w:rFonts w:ascii="Arial" w:hAnsi="Arial" w:cs="Arial"/>
          <w:b/>
          <w:color w:val="4F81BD" w:themeColor="accent1"/>
          <w:sz w:val="18"/>
          <w:szCs w:val="18"/>
        </w:rPr>
        <w:t xml:space="preserve">in New South Wales 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reported </w:t>
      </w:r>
      <w:r w:rsidR="00B91540">
        <w:rPr>
          <w:rFonts w:ascii="Arial" w:hAnsi="Arial" w:cs="Arial"/>
          <w:b/>
          <w:color w:val="4F81BD" w:themeColor="accent1"/>
          <w:sz w:val="18"/>
          <w:szCs w:val="18"/>
        </w:rPr>
        <w:t xml:space="preserve">being in the labour force.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This is similar to 2006 when 58.9% persons reported being in the labour force.</w:t>
      </w:r>
    </w:p>
    <w:p w:rsidR="00220FEC" w:rsidRDefault="004E2BDD" w:rsidP="004E2BD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just over one third (34.6%) of </w:t>
      </w:r>
      <w:r w:rsidR="00291561"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reported not being in the labour force. </w:t>
      </w:r>
      <w:r w:rsidR="00220FEC">
        <w:rPr>
          <w:rFonts w:ascii="Arial" w:hAnsi="Arial" w:cs="Arial"/>
          <w:b/>
          <w:color w:val="4F81BD" w:themeColor="accent1"/>
          <w:sz w:val="18"/>
          <w:szCs w:val="18"/>
        </w:rPr>
        <w:t xml:space="preserve">This is a similar proportion to </w:t>
      </w:r>
      <w:r w:rsidR="006101A3">
        <w:rPr>
          <w:rFonts w:ascii="Arial" w:hAnsi="Arial" w:cs="Arial"/>
          <w:b/>
          <w:color w:val="4F81BD" w:themeColor="accent1"/>
          <w:sz w:val="18"/>
          <w:szCs w:val="18"/>
        </w:rPr>
        <w:t>the figure</w:t>
      </w:r>
      <w:r w:rsidR="00220FEC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in 2006 (34.3%)</w:t>
      </w:r>
      <w:r w:rsidR="006232AE">
        <w:rPr>
          <w:rFonts w:ascii="Arial" w:hAnsi="Arial" w:cs="Arial"/>
          <w:b/>
          <w:color w:val="4F81BD" w:themeColor="accent1"/>
          <w:sz w:val="18"/>
          <w:szCs w:val="18"/>
        </w:rPr>
        <w:t>.</w:t>
      </w:r>
    </w:p>
    <w:p w:rsidR="004E2BDD" w:rsidRPr="005D7C5B" w:rsidRDefault="00220FEC" w:rsidP="004E2BD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 w:rsidR="004E2BDD">
        <w:rPr>
          <w:rFonts w:ascii="Arial" w:hAnsi="Arial" w:cs="Arial"/>
          <w:b/>
          <w:color w:val="4F81BD" w:themeColor="accent1"/>
          <w:sz w:val="18"/>
          <w:szCs w:val="18"/>
        </w:rPr>
        <w:t>3.5% of 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</w:t>
      </w:r>
      <w:r w:rsidR="004E2BDD">
        <w:rPr>
          <w:rFonts w:ascii="Arial" w:hAnsi="Arial" w:cs="Arial"/>
          <w:b/>
          <w:color w:val="4F81BD" w:themeColor="accent1"/>
          <w:sz w:val="18"/>
          <w:szCs w:val="18"/>
        </w:rPr>
        <w:t xml:space="preserve"> who reported being unemployed and looking for work. </w:t>
      </w:r>
      <w:r w:rsidR="006101A3">
        <w:rPr>
          <w:rFonts w:ascii="Arial" w:hAnsi="Arial" w:cs="Arial"/>
          <w:b/>
          <w:color w:val="4F81BD" w:themeColor="accent1"/>
          <w:sz w:val="18"/>
          <w:szCs w:val="18"/>
        </w:rPr>
        <w:t xml:space="preserve">This is the same proportion as the figure reported in 2006. </w:t>
      </w:r>
    </w:p>
    <w:p w:rsidR="004E2BDD" w:rsidRDefault="004E2BDD" w:rsidP="004E2BD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full</w:t>
      </w:r>
      <w:r w:rsidR="002C7E64">
        <w:rPr>
          <w:rFonts w:ascii="Arial" w:hAnsi="Arial" w:cs="Arial"/>
          <w:b/>
          <w:color w:val="4F81BD" w:themeColor="accent1"/>
          <w:sz w:val="18"/>
          <w:szCs w:val="18"/>
        </w:rPr>
        <w:t>-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time</w:t>
      </w:r>
      <w:r w:rsidR="00220FEC"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63.3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36.7% were females.</w:t>
      </w:r>
    </w:p>
    <w:p w:rsidR="004E2BDD" w:rsidRDefault="004E2BDD" w:rsidP="004E2BD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part-time</w:t>
      </w:r>
      <w:r w:rsidR="00220FEC"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 32.9% were males and 67.1% were females.</w:t>
      </w:r>
    </w:p>
    <w:p w:rsidR="006101A3" w:rsidRDefault="00610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A47EB" w:rsidRDefault="002A47EB" w:rsidP="004E2BDD">
      <w:pPr>
        <w:pStyle w:val="ListParagraph"/>
        <w:rPr>
          <w:rFonts w:ascii="Arial" w:hAnsi="Arial" w:cs="Arial"/>
          <w:b/>
        </w:rPr>
      </w:pPr>
    </w:p>
    <w:p w:rsidR="006101A3" w:rsidRDefault="006101A3" w:rsidP="004E2BDD">
      <w:pPr>
        <w:pStyle w:val="ListParagraph"/>
        <w:rPr>
          <w:rFonts w:ascii="Arial" w:hAnsi="Arial" w:cs="Arial"/>
          <w:b/>
        </w:rPr>
      </w:pPr>
    </w:p>
    <w:p w:rsidR="006101A3" w:rsidRDefault="006101A3" w:rsidP="004E2BDD">
      <w:pPr>
        <w:pStyle w:val="ListParagraph"/>
        <w:rPr>
          <w:rFonts w:ascii="Arial" w:hAnsi="Arial" w:cs="Arial"/>
          <w:b/>
        </w:rPr>
      </w:pPr>
    </w:p>
    <w:p w:rsidR="006101A3" w:rsidRDefault="006101A3" w:rsidP="004E2BDD">
      <w:pPr>
        <w:pStyle w:val="ListParagraph"/>
        <w:rPr>
          <w:rFonts w:ascii="Arial" w:hAnsi="Arial" w:cs="Arial"/>
          <w:b/>
        </w:rPr>
      </w:pPr>
    </w:p>
    <w:p w:rsidR="00242F9D" w:rsidRDefault="00242F9D" w:rsidP="00242F9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South Wales</w:t>
      </w:r>
    </w:p>
    <w:p w:rsidR="006101A3" w:rsidRPr="002A47EB" w:rsidRDefault="006101A3" w:rsidP="00242F9D">
      <w:pPr>
        <w:pStyle w:val="ListParagraph"/>
        <w:jc w:val="center"/>
        <w:rPr>
          <w:rFonts w:ascii="Arial" w:hAnsi="Arial" w:cs="Arial"/>
          <w:b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2114B5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4E2BDD" w:rsidRPr="002E42CC" w:rsidTr="002114B5">
        <w:tc>
          <w:tcPr>
            <w:tcW w:w="1985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1,438,260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(45.8%)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67.6%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1,381,400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(47.5%)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32.1%</w:t>
            </w:r>
          </w:p>
        </w:tc>
      </w:tr>
      <w:tr w:rsidR="004E2BDD" w:rsidRPr="002E42CC" w:rsidTr="002114B5">
        <w:tc>
          <w:tcPr>
            <w:tcW w:w="1985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569,664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(18.2%)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52.4%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47.6%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498,228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(17.1%)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52.8%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47.2%</w:t>
            </w:r>
          </w:p>
        </w:tc>
      </w:tr>
      <w:tr w:rsidR="004E2BDD" w:rsidRPr="002E42CC" w:rsidTr="002114B5">
        <w:tc>
          <w:tcPr>
            <w:tcW w:w="1985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308,121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(9.8%)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33.6%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66.4%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272,330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(9.4%)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34.1%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65.9%</w:t>
            </w:r>
          </w:p>
        </w:tc>
      </w:tr>
      <w:tr w:rsidR="004E2BDD" w:rsidRPr="002E42CC" w:rsidTr="002114B5">
        <w:tc>
          <w:tcPr>
            <w:tcW w:w="1985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304,829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31.2%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267,056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(9.2%)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70.0%</w:t>
            </w:r>
          </w:p>
        </w:tc>
      </w:tr>
      <w:tr w:rsidR="004E2BDD" w:rsidRPr="002E42CC" w:rsidTr="002114B5">
        <w:tc>
          <w:tcPr>
            <w:tcW w:w="1985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446,637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(14.2%)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36.2%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63.8%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406,853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(14.0%)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36.1%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63.9%</w:t>
            </w:r>
          </w:p>
        </w:tc>
      </w:tr>
      <w:tr w:rsidR="004E2BDD" w:rsidRPr="002E42CC" w:rsidTr="002114B5">
        <w:tc>
          <w:tcPr>
            <w:tcW w:w="1985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3,138,332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2,909,444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4E2BDD" w:rsidRPr="00FD44DB" w:rsidRDefault="006101A3" w:rsidP="004E2BDD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</w:t>
      </w:r>
      <w:r w:rsidR="004E2BDD"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f </w:t>
      </w:r>
      <w:r w:rsidR="00E73B8B">
        <w:rPr>
          <w:rFonts w:ascii="Arial" w:hAnsi="Arial" w:cs="Arial"/>
          <w:b/>
          <w:color w:val="4F81BD" w:themeColor="accent1"/>
          <w:sz w:val="18"/>
          <w:szCs w:val="18"/>
        </w:rPr>
        <w:t xml:space="preserve">all employed persons </w:t>
      </w:r>
      <w:r w:rsidR="004E2BDD" w:rsidRPr="00FD44DB">
        <w:rPr>
          <w:rFonts w:ascii="Arial" w:hAnsi="Arial" w:cs="Arial"/>
          <w:b/>
          <w:color w:val="4F81BD" w:themeColor="accent1"/>
          <w:sz w:val="18"/>
          <w:szCs w:val="18"/>
        </w:rPr>
        <w:t>aged 15 years and over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45.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8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</w:t>
      </w:r>
      <w:r w:rsidR="004E2BDD"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working 40 hours or more in the week prior to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the 2011</w:t>
      </w:r>
      <w:r w:rsidR="004E2BDD"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 Census. A higher proportion of these were males (6</w:t>
      </w:r>
      <w:r w:rsidR="004E2BDD">
        <w:rPr>
          <w:rFonts w:ascii="Arial" w:hAnsi="Arial" w:cs="Arial"/>
          <w:b/>
          <w:color w:val="4F81BD" w:themeColor="accent1"/>
          <w:sz w:val="18"/>
          <w:szCs w:val="18"/>
        </w:rPr>
        <w:t>7</w:t>
      </w:r>
      <w:r w:rsidR="004E2BDD" w:rsidRPr="00FD44DB">
        <w:rPr>
          <w:rFonts w:ascii="Arial" w:hAnsi="Arial" w:cs="Arial"/>
          <w:b/>
          <w:color w:val="4F81BD" w:themeColor="accent1"/>
          <w:sz w:val="18"/>
          <w:szCs w:val="18"/>
        </w:rPr>
        <w:t>.</w:t>
      </w:r>
      <w:r w:rsidR="004E2BDD">
        <w:rPr>
          <w:rFonts w:ascii="Arial" w:hAnsi="Arial" w:cs="Arial"/>
          <w:b/>
          <w:color w:val="4F81BD" w:themeColor="accent1"/>
          <w:sz w:val="18"/>
          <w:szCs w:val="18"/>
        </w:rPr>
        <w:t>6</w:t>
      </w:r>
      <w:r w:rsidR="004E2BDD"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4E2BDD" w:rsidRDefault="004E2BDD" w:rsidP="004E2BD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 there was a 1.7 percentage point decline in the proportion of persons who reported working 40 hours or more (47.5% in 2006 compared to 45.8% in 2011).</w:t>
      </w:r>
    </w:p>
    <w:p w:rsidR="00BF1EC3" w:rsidRDefault="00061793" w:rsidP="004E2BD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Of all employed persons aged 15 years and over </w:t>
      </w:r>
      <w:r w:rsidR="004E2BDD">
        <w:rPr>
          <w:rFonts w:ascii="Arial" w:hAnsi="Arial" w:cs="Arial"/>
          <w:b/>
          <w:color w:val="4F81BD" w:themeColor="accent1"/>
          <w:sz w:val="18"/>
          <w:szCs w:val="18"/>
        </w:rPr>
        <w:t>14.2% reported working 0 to 15 hours in the week prior to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the 2011</w:t>
      </w:r>
      <w:r w:rsidR="004E2BDD">
        <w:rPr>
          <w:rFonts w:ascii="Arial" w:hAnsi="Arial" w:cs="Arial"/>
          <w:b/>
          <w:color w:val="4F81BD" w:themeColor="accent1"/>
          <w:sz w:val="18"/>
          <w:szCs w:val="18"/>
        </w:rPr>
        <w:t xml:space="preserve"> Census. A higher proportion of these were females (63.8%).</w:t>
      </w:r>
    </w:p>
    <w:p w:rsidR="006101A3" w:rsidRDefault="006101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F1EC3" w:rsidRDefault="00BF1EC3" w:rsidP="004E2BDD">
      <w:pPr>
        <w:spacing w:after="0"/>
        <w:rPr>
          <w:rFonts w:ascii="Arial" w:hAnsi="Arial" w:cs="Arial"/>
          <w:b/>
          <w:sz w:val="28"/>
          <w:szCs w:val="28"/>
        </w:rPr>
      </w:pPr>
    </w:p>
    <w:p w:rsidR="00061793" w:rsidRDefault="00061793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61793" w:rsidRDefault="00061793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61793" w:rsidRDefault="00061793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1EC3" w:rsidRDefault="009F7CC6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South Wales</w:t>
      </w: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922C64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Industries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2114B5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4E2BDD" w:rsidRPr="008B58A5" w:rsidTr="002114B5">
        <w:tc>
          <w:tcPr>
            <w:tcW w:w="226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364,321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(11.6%)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21.7%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78.3%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304,341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22.3%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77.7%</w:t>
            </w:r>
          </w:p>
        </w:tc>
      </w:tr>
      <w:tr w:rsidR="004E2BDD" w:rsidRPr="008B58A5" w:rsidTr="002114B5">
        <w:tc>
          <w:tcPr>
            <w:tcW w:w="226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324,726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43.0%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57.0%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323,929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(11.1%)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43.2%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56.8%</w:t>
            </w:r>
          </w:p>
        </w:tc>
      </w:tr>
      <w:tr w:rsidR="004E2BDD" w:rsidRPr="008B58A5" w:rsidTr="002114B5">
        <w:tc>
          <w:tcPr>
            <w:tcW w:w="226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264,866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(8.4%)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72.6%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27.4%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277,985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(9.6%)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72.8%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27.2%</w:t>
            </w:r>
          </w:p>
        </w:tc>
      </w:tr>
      <w:tr w:rsidR="004E2BDD" w:rsidRPr="008B58A5" w:rsidTr="002114B5">
        <w:tc>
          <w:tcPr>
            <w:tcW w:w="226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 xml:space="preserve"> Education and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248,951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(7.9%)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30.5%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69.5%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219,677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(7.6%)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30.6%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69.4%</w:t>
            </w:r>
          </w:p>
        </w:tc>
      </w:tr>
      <w:tr w:rsidR="004E2BDD" w:rsidRPr="008B58A5" w:rsidTr="002114B5">
        <w:tc>
          <w:tcPr>
            <w:tcW w:w="226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Professional, Scientific and Technical Services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247,294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(7.9%)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45.1%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213,254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(7.3%)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</w:tr>
      <w:tr w:rsidR="004E2BDD" w:rsidRPr="008B58A5" w:rsidTr="002114B5">
        <w:tc>
          <w:tcPr>
            <w:tcW w:w="226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1561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3,138,332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2,909,444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</w:tr>
    </w:tbl>
    <w:p w:rsidR="002A47EB" w:rsidRDefault="002A47EB" w:rsidP="00726F2A">
      <w:pPr>
        <w:rPr>
          <w:rFonts w:ascii="Arial" w:hAnsi="Arial" w:cs="Arial"/>
          <w:b/>
        </w:rPr>
      </w:pPr>
    </w:p>
    <w:p w:rsidR="004E2BDD" w:rsidRDefault="004E2BDD" w:rsidP="004E2BDD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In 2011,</w:t>
      </w:r>
      <w:r w:rsidR="00061793">
        <w:rPr>
          <w:rFonts w:ascii="Arial" w:hAnsi="Arial" w:cs="Arial"/>
          <w:b/>
          <w:color w:val="4F81BD" w:themeColor="accent1"/>
          <w:sz w:val="18"/>
          <w:szCs w:val="18"/>
        </w:rPr>
        <w:t xml:space="preserve"> of all employed persons aged 15 years and over the largest proportion reported working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in the Health Care and Social Assistance </w:t>
      </w:r>
      <w:r w:rsidR="00061793">
        <w:rPr>
          <w:rFonts w:ascii="Arial" w:hAnsi="Arial" w:cs="Arial"/>
          <w:b/>
          <w:color w:val="4F81BD" w:themeColor="accent1"/>
          <w:sz w:val="18"/>
          <w:szCs w:val="18"/>
        </w:rPr>
        <w:t>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ndustry (11.6%). </w:t>
      </w:r>
    </w:p>
    <w:p w:rsidR="004E2BDD" w:rsidRPr="00BB4CAD" w:rsidRDefault="004E2BDD" w:rsidP="004E2BDD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In 2006, the Retail Trade industry was the most reported response for employed 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aged 15 years and over (11.1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%). The proportion of those who reported being 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>employed in this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industry declined to 10.</w:t>
      </w:r>
      <w:r>
        <w:rPr>
          <w:rFonts w:ascii="Arial" w:hAnsi="Arial" w:cs="Arial"/>
          <w:b/>
          <w:bCs/>
          <w:color w:val="4181C0"/>
          <w:sz w:val="18"/>
          <w:szCs w:val="18"/>
        </w:rPr>
        <w:t>3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% in 2011, however 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minor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increase in the number of persons employed in this industry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(797 persons)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4E2BDD" w:rsidRPr="001F6ED0" w:rsidRDefault="004E2BDD" w:rsidP="004E2BDD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>person employed persons aged 15 years and over who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reported Manufacturing as their industry of employment has declined to 8.4% i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>n 2011 compared to 9.6% in 2006, and there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has been a d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>ecrease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the number of persons who reported being employed in this industry (13,119 persons).</w:t>
      </w:r>
    </w:p>
    <w:p w:rsidR="004E2BDD" w:rsidRDefault="004E2BDD" w:rsidP="004E2BDD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in the Manufacturing industry, </w:t>
      </w:r>
      <w:r>
        <w:rPr>
          <w:rFonts w:ascii="Arial" w:hAnsi="Arial" w:cs="Arial"/>
          <w:b/>
          <w:bCs/>
          <w:color w:val="4181C0"/>
          <w:sz w:val="18"/>
          <w:szCs w:val="18"/>
        </w:rPr>
        <w:t>72.6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 were males. </w:t>
      </w:r>
    </w:p>
    <w:p w:rsidR="004E2BDD" w:rsidRPr="00EC4306" w:rsidRDefault="005D2935" w:rsidP="004E2BDD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o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 xml:space="preserve">f </w:t>
      </w:r>
      <w:r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</w:t>
      </w:r>
      <w:r w:rsidR="004E2BDD" w:rsidRPr="00EC4306">
        <w:rPr>
          <w:rFonts w:ascii="Arial" w:hAnsi="Arial" w:cs="Arial"/>
          <w:b/>
          <w:bCs/>
          <w:color w:val="4181C0"/>
          <w:sz w:val="18"/>
          <w:szCs w:val="18"/>
        </w:rPr>
        <w:t>he industries of Health Care and Social Assistance, Education and Training and Retail Trade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>, a higher proportion were females (78.3</w:t>
      </w:r>
      <w:r w:rsidR="004E2BDD"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%, 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>69.5</w:t>
      </w:r>
      <w:r w:rsidR="004E2BDD" w:rsidRPr="00EC4306">
        <w:rPr>
          <w:rFonts w:ascii="Arial" w:hAnsi="Arial" w:cs="Arial"/>
          <w:b/>
          <w:bCs/>
          <w:color w:val="4181C0"/>
          <w:sz w:val="18"/>
          <w:szCs w:val="18"/>
        </w:rPr>
        <w:t>% and 57.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>0</w:t>
      </w:r>
      <w:r w:rsidR="004E2BDD" w:rsidRPr="00EC4306">
        <w:rPr>
          <w:rFonts w:ascii="Arial" w:hAnsi="Arial" w:cs="Arial"/>
          <w:b/>
          <w:bCs/>
          <w:color w:val="4181C0"/>
          <w:sz w:val="18"/>
          <w:szCs w:val="18"/>
        </w:rPr>
        <w:t>% respectively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5D2935" w:rsidRDefault="005D293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5D2935" w:rsidRDefault="005D293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D2935" w:rsidRDefault="005D293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42F9D" w:rsidRDefault="00242F9D" w:rsidP="00242F9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South Wales</w:t>
      </w:r>
    </w:p>
    <w:p w:rsidR="005D2935" w:rsidRDefault="005D2935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33455" w:rsidRPr="00433831" w:rsidRDefault="00936274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922C64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2114B5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4E2BDD" w:rsidRPr="00726F2A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713,548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(22.7%)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53.2%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616,282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(21.2%)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52.5%</w:t>
            </w:r>
          </w:p>
        </w:tc>
      </w:tr>
      <w:tr w:rsidR="004E2BDD" w:rsidRPr="00726F2A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473,141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(15.1%)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24.1%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447,952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(15.4%)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23.6%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76.4%</w:t>
            </w:r>
          </w:p>
        </w:tc>
      </w:tr>
      <w:tr w:rsidR="004E2BDD" w:rsidRPr="00726F2A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418,333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(13.3%)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64.3%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35.7%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396,461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(13.6%)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65.4%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34.6%</w:t>
            </w:r>
          </w:p>
        </w:tc>
      </w:tr>
      <w:tr w:rsidR="004E2BDD" w:rsidRPr="00726F2A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414,669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(13.2%)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84.9%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15.1%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396,723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(13.6%)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85.3%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14.7%</w:t>
            </w:r>
          </w:p>
        </w:tc>
      </w:tr>
      <w:tr w:rsidR="004E2BDD" w:rsidRPr="00726F2A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Community and Personal Service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297,669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(9.5%)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67.4%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249,579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(8.6%)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33.1%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66.9%</w:t>
            </w:r>
          </w:p>
        </w:tc>
      </w:tr>
      <w:tr w:rsidR="004E2BDD" w:rsidRPr="00726F2A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1561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3,138,332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2,909,444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</w:tr>
    </w:tbl>
    <w:p w:rsidR="00233455" w:rsidRDefault="00233455" w:rsidP="006B4BF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4E2BDD" w:rsidRPr="0054791F" w:rsidRDefault="004E2BDD" w:rsidP="004E2BD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22.7% of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employed persons aged 15 years and over reported working as 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>P</w:t>
      </w:r>
      <w:r>
        <w:rPr>
          <w:rFonts w:ascii="Arial" w:hAnsi="Arial" w:cs="Arial"/>
          <w:b/>
          <w:bCs/>
          <w:color w:val="4181C0"/>
          <w:sz w:val="18"/>
          <w:szCs w:val="18"/>
        </w:rPr>
        <w:t>rofessionals. Of those</w:t>
      </w:r>
      <w:r w:rsidR="005D2935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53.2% were females.</w:t>
      </w:r>
    </w:p>
    <w:p w:rsidR="004E2BDD" w:rsidRPr="009C662E" w:rsidRDefault="004E2BDD" w:rsidP="004E2BD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</w:t>
      </w:r>
      <w:r w:rsidR="009F7CC6">
        <w:rPr>
          <w:rFonts w:ascii="Arial" w:hAnsi="Arial" w:cs="Arial"/>
          <w:b/>
          <w:bCs/>
          <w:color w:val="4181C0"/>
          <w:sz w:val="18"/>
          <w:szCs w:val="18"/>
        </w:rPr>
        <w:t>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proportion of </w:t>
      </w:r>
      <w:r w:rsidR="009F7CC6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as Professionals has increased by 1.5 percentage points from 21.2% in 2006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 xml:space="preserve"> to 22.7%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9F7CC6" w:rsidRPr="009F7CC6" w:rsidRDefault="009F7CC6" w:rsidP="004E2BD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o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 xml:space="preserve">f those who reported working as Technicians and Trades Workers (13.2%), a higher proportion were males (84.9%). </w:t>
      </w:r>
    </w:p>
    <w:p w:rsidR="00740DF9" w:rsidRPr="004E2BDD" w:rsidRDefault="009F7CC6" w:rsidP="004E2BD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of all persons who reported working as Clerical and Administrative Workers (15.1%), a higher proportion were females (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>75.9%</w:t>
      </w:r>
      <w:r>
        <w:rPr>
          <w:rFonts w:ascii="Arial" w:hAnsi="Arial" w:cs="Arial"/>
          <w:b/>
          <w:bCs/>
          <w:color w:val="4181C0"/>
          <w:sz w:val="18"/>
          <w:szCs w:val="18"/>
        </w:rPr>
        <w:t>)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5D2935" w:rsidRDefault="005D2935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4E2BDD" w:rsidRDefault="004E2BDD" w:rsidP="004E2BDD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p w:rsidR="005D2935" w:rsidRDefault="005D2935" w:rsidP="004E2BDD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p w:rsidR="005D2935" w:rsidRDefault="005D2935" w:rsidP="004E2BDD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p w:rsidR="005D2935" w:rsidRDefault="005D2935" w:rsidP="004E2BDD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p w:rsidR="005D2935" w:rsidRPr="004E2BDD" w:rsidRDefault="005D2935" w:rsidP="004E2BDD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p w:rsidR="00740DF9" w:rsidRPr="00242F9D" w:rsidRDefault="004E2BDD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42F9D">
        <w:rPr>
          <w:rFonts w:ascii="Arial" w:hAnsi="Arial" w:cs="Arial"/>
          <w:b/>
          <w:sz w:val="32"/>
          <w:szCs w:val="32"/>
        </w:rPr>
        <w:t>New South Wales</w:t>
      </w:r>
    </w:p>
    <w:p w:rsidR="009F7CC6" w:rsidRPr="00BF1EC3" w:rsidRDefault="009F7CC6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2114B5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238,853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(4.3%)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46.5%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162,916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(3.1%)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56.6%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43.4%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&amp; 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82,616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37.7%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62.3%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65,829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37.2%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62.8%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787,335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(14.1%)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44.9%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55.1%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635,027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(12.1%)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462,060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(8.3%)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42.1%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57.9%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387,653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(7.4%)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41.2%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58.8%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819,782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(14.7%)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70.3%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29.7%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718,478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(13.7%)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74.4%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25.6%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883,963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(15.8%)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47.7%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52.3%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804,097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(15.3%)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52.5%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I/II/nfd)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1,577,920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(28.3%)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43.0%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57.0%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1,649,800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(31.4%)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42.1%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57.9%</w:t>
            </w:r>
          </w:p>
        </w:tc>
      </w:tr>
      <w:tr w:rsidR="004E2BDD" w:rsidTr="002114B5">
        <w:tc>
          <w:tcPr>
            <w:tcW w:w="1879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91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5,585,148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5,250,260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</w:tr>
    </w:tbl>
    <w:p w:rsidR="00726F2A" w:rsidRDefault="00291561" w:rsidP="00291561">
      <w:pPr>
        <w:ind w:left="-851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sz w:val="18"/>
          <w:szCs w:val="18"/>
        </w:rPr>
        <w:t>n</w:t>
      </w:r>
      <w:r w:rsidRPr="00F2360F">
        <w:rPr>
          <w:rFonts w:ascii="Arial" w:hAnsi="Arial" w:cs="Arial"/>
          <w:sz w:val="18"/>
          <w:szCs w:val="18"/>
        </w:rPr>
        <w:t>fd: Not further defined</w:t>
      </w:r>
    </w:p>
    <w:p w:rsidR="004E2BDD" w:rsidRPr="008415AC" w:rsidRDefault="004E2BDD" w:rsidP="004E2BDD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there was a significant increase in number of persons who reported completing a Post</w:t>
      </w:r>
      <w:r w:rsidR="009F7CC6">
        <w:rPr>
          <w:rFonts w:ascii="Arial" w:hAnsi="Arial" w:cs="Arial"/>
          <w:b/>
          <w:bCs/>
          <w:color w:val="4181C0"/>
          <w:sz w:val="18"/>
          <w:szCs w:val="18"/>
        </w:rPr>
        <w:t>graduate Degree, from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162,916 in 2006 to 238,853 in 2011 (a</w:t>
      </w:r>
      <w:r w:rsidR="009F7CC6">
        <w:rPr>
          <w:rFonts w:ascii="Arial" w:hAnsi="Arial" w:cs="Arial"/>
          <w:b/>
          <w:bCs/>
          <w:color w:val="4181C0"/>
          <w:sz w:val="18"/>
          <w:szCs w:val="18"/>
        </w:rPr>
        <w:t>n increase of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46.6%).</w:t>
      </w:r>
    </w:p>
    <w:p w:rsidR="004E2BDD" w:rsidRPr="005F7046" w:rsidRDefault="004E2BDD" w:rsidP="004E2BDD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significant increase in numbers of those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Graduate Diploma or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 xml:space="preserve"> Graduate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65,829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82,616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25.5%).</w:t>
      </w:r>
    </w:p>
    <w:p w:rsidR="004E2BDD" w:rsidRPr="008415AC" w:rsidRDefault="004E2BDD" w:rsidP="004E2BDD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significant 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 xml:space="preserve">increase in the number of persons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635,027 in 2006 to 787,335 in 2011 (an increase of 24.0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%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4E2BDD" w:rsidRPr="005F7046" w:rsidRDefault="004E2BDD" w:rsidP="004E2BDD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d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ecline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number of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those who reported Year 11 and below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in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cluding Certificate level I/II),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as their highest level of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1,649,800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2006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1,577,920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in 2011.</w:t>
      </w:r>
    </w:p>
    <w:p w:rsidR="004E2BDD" w:rsidRPr="008415AC" w:rsidRDefault="004E2BDD" w:rsidP="004E2BDD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A higher proportion of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 xml:space="preserve"> females than males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reported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</w:t>
      </w:r>
      <w:r>
        <w:rPr>
          <w:rFonts w:ascii="Arial" w:hAnsi="Arial" w:cs="Arial"/>
          <w:b/>
          <w:bCs/>
          <w:color w:val="4181C0"/>
          <w:sz w:val="18"/>
          <w:szCs w:val="18"/>
        </w:rPr>
        <w:t>or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 xml:space="preserve"> Graduate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Bachelor Degree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and Advance Diploma 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>or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Diploma (62.3%, 55.1% and 57.9% respectively).</w:t>
      </w:r>
    </w:p>
    <w:p w:rsidR="004E2BDD" w:rsidRPr="008415AC" w:rsidRDefault="004E2BDD" w:rsidP="004E2BDD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f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8F2036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 a higher proportion were males (70.3%). </w:t>
      </w:r>
    </w:p>
    <w:p w:rsidR="00CE1624" w:rsidRPr="00726F2A" w:rsidRDefault="00CE1624" w:rsidP="004E2BDD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4E2BDD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4E2BDD" w:rsidRDefault="00CE1624" w:rsidP="004E2BDD">
      <w:pPr>
        <w:ind w:left="360"/>
        <w:rPr>
          <w:rFonts w:ascii="Arial" w:hAnsi="Arial" w:cs="Arial"/>
          <w:b/>
          <w:color w:val="000000" w:themeColor="text1"/>
        </w:rPr>
      </w:pP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4E2BDD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South Wales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577B41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922C64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2114B5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2114B5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4E2BDD" w:rsidRPr="008B58A5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647,875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(20.3%)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39.7%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60.3%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525,056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(18.4%)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38.8%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61.2%</w:t>
            </w:r>
          </w:p>
        </w:tc>
      </w:tr>
      <w:tr w:rsidR="004E2BDD" w:rsidRPr="008B58A5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471,736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(14.8%)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92.6%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442,431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(15.5%)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92.8%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7.2%</w:t>
            </w:r>
          </w:p>
        </w:tc>
      </w:tr>
      <w:tr w:rsidR="004E2BDD" w:rsidRPr="008B58A5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325,402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(10.2%)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35.1%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64.9%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249,003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(8.7%)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37.7%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62.3%</w:t>
            </w:r>
          </w:p>
        </w:tc>
      </w:tr>
      <w:tr w:rsidR="004E2BDD" w:rsidRPr="008B58A5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271,405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(8.5%)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23.2%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76.8%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227,949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(8.0%)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22.7%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77.3%</w:t>
            </w:r>
          </w:p>
        </w:tc>
      </w:tr>
      <w:tr w:rsidR="004E2BDD" w:rsidRPr="008B58A5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228,393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(7.1%)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24.9%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75.1%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200,582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(7.0%)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25.7%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74.3%</w:t>
            </w:r>
          </w:p>
        </w:tc>
      </w:tr>
      <w:tr w:rsidR="004E2BDD" w:rsidRPr="008B58A5" w:rsidTr="002114B5">
        <w:tc>
          <w:tcPr>
            <w:tcW w:w="241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561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3,196,923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2,860,459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52.3%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4E2BDD" w:rsidRPr="00291561" w:rsidRDefault="004E2BDD" w:rsidP="00922C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47.7%</w:t>
            </w:r>
          </w:p>
        </w:tc>
      </w:tr>
    </w:tbl>
    <w:p w:rsidR="00233455" w:rsidRDefault="00233455"/>
    <w:p w:rsidR="004E2BDD" w:rsidRPr="005E52BE" w:rsidRDefault="004E2BDD" w:rsidP="004E2BDD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000000" w:themeColor="text1"/>
        </w:rPr>
      </w:pP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Management and Commerce (</w:t>
      </w:r>
      <w:r>
        <w:rPr>
          <w:rFonts w:ascii="Arial" w:hAnsi="Arial" w:cs="Arial"/>
          <w:b/>
          <w:bCs/>
          <w:color w:val="4181C0"/>
          <w:sz w:val="18"/>
          <w:szCs w:val="18"/>
        </w:rPr>
        <w:t>20.3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%) and Engineering and Related Technologies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14.8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%) </w:t>
      </w:r>
      <w:r>
        <w:rPr>
          <w:rFonts w:ascii="Arial" w:hAnsi="Arial" w:cs="Arial"/>
          <w:b/>
          <w:bCs/>
          <w:color w:val="4181C0"/>
          <w:sz w:val="18"/>
          <w:szCs w:val="18"/>
        </w:rPr>
        <w:t>were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two most common fields of study 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>that were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reported by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persons aged 15 years and over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 xml:space="preserve"> who stated a completed qualification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. These fields were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 xml:space="preserve"> also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reported 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most common fields of study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2006 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4E2BDD" w:rsidRPr="005570D1" w:rsidRDefault="004E2BDD" w:rsidP="004E2BDD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Between the 2006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 xml:space="preserve"> Census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and 2011 Census,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there </w:t>
      </w:r>
      <w:r>
        <w:rPr>
          <w:rFonts w:ascii="Arial" w:hAnsi="Arial" w:cs="Arial"/>
          <w:b/>
          <w:bCs/>
          <w:color w:val="4181C0"/>
          <w:sz w:val="18"/>
          <w:szCs w:val="18"/>
        </w:rPr>
        <w:t>has been a decline in the proportion of those who reported Engineering and Related Technologies (0.7 percentage point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>s</w:t>
      </w:r>
      <w:r>
        <w:rPr>
          <w:rFonts w:ascii="Arial" w:hAnsi="Arial" w:cs="Arial"/>
          <w:b/>
          <w:bCs/>
          <w:color w:val="4181C0"/>
          <w:sz w:val="18"/>
          <w:szCs w:val="18"/>
        </w:rPr>
        <w:t>). In addition there has been a proportionate increase in those who reported Management and Commerce (1.9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> </w:t>
      </w:r>
      <w:r>
        <w:rPr>
          <w:rFonts w:ascii="Arial" w:hAnsi="Arial" w:cs="Arial"/>
          <w:b/>
          <w:bCs/>
          <w:color w:val="4181C0"/>
          <w:sz w:val="18"/>
          <w:szCs w:val="18"/>
        </w:rPr>
        <w:t>percentage point</w:t>
      </w:r>
      <w:r w:rsidR="00316B73">
        <w:rPr>
          <w:rFonts w:ascii="Arial" w:hAnsi="Arial" w:cs="Arial"/>
          <w:b/>
          <w:bCs/>
          <w:color w:val="4181C0"/>
          <w:sz w:val="18"/>
          <w:szCs w:val="18"/>
        </w:rPr>
        <w:t>s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4E2BDD" w:rsidRPr="005E52BE" w:rsidRDefault="004E2BDD" w:rsidP="004E2BDD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000000" w:themeColor="text1"/>
        </w:rPr>
      </w:pP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>all persons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Management and Commerce as their field of study a higher proportion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 xml:space="preserve"> were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females (</w:t>
      </w:r>
      <w:r>
        <w:rPr>
          <w:rFonts w:ascii="Arial" w:hAnsi="Arial" w:cs="Arial"/>
          <w:b/>
          <w:bCs/>
          <w:color w:val="4181C0"/>
          <w:sz w:val="18"/>
          <w:szCs w:val="18"/>
        </w:rPr>
        <w:t>60.3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%). Of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Engineering and Related Technologies as their field of study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>, the proportion of males was significantly higher 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(</w:t>
      </w:r>
      <w:r>
        <w:rPr>
          <w:rFonts w:ascii="Arial" w:hAnsi="Arial" w:cs="Arial"/>
          <w:b/>
          <w:bCs/>
          <w:color w:val="4181C0"/>
          <w:sz w:val="18"/>
          <w:szCs w:val="18"/>
        </w:rPr>
        <w:t>92.6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%).</w:t>
      </w:r>
    </w:p>
    <w:p w:rsidR="004E2BDD" w:rsidRPr="005E52BE" w:rsidRDefault="004C044B" w:rsidP="004E2BDD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</w:t>
      </w:r>
      <w:r w:rsidR="004E2BDD" w:rsidRPr="005E52BE">
        <w:rPr>
          <w:rFonts w:ascii="Arial" w:hAnsi="Arial" w:cs="Arial"/>
          <w:b/>
          <w:bCs/>
          <w:color w:val="4181C0"/>
          <w:sz w:val="18"/>
          <w:szCs w:val="18"/>
        </w:rPr>
        <w:t>hree quarters of those who reported Health and Education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4E2BDD" w:rsidRPr="005E52BE">
        <w:rPr>
          <w:rFonts w:ascii="Arial" w:hAnsi="Arial" w:cs="Arial"/>
          <w:b/>
          <w:bCs/>
          <w:color w:val="4181C0"/>
          <w:sz w:val="18"/>
          <w:szCs w:val="18"/>
        </w:rPr>
        <w:t>as fields of study were females</w:t>
      </w:r>
      <w:r w:rsidR="004E2BDD">
        <w:rPr>
          <w:rFonts w:ascii="Arial" w:hAnsi="Arial" w:cs="Arial"/>
          <w:b/>
          <w:bCs/>
          <w:color w:val="4181C0"/>
          <w:sz w:val="18"/>
          <w:szCs w:val="18"/>
        </w:rPr>
        <w:t xml:space="preserve"> (76.8% and 75.1% respectively)</w:t>
      </w:r>
      <w:r w:rsidR="004E2BDD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. </w:t>
      </w:r>
    </w:p>
    <w:p w:rsidR="00CE1624" w:rsidRPr="004E2BDD" w:rsidRDefault="00CE1624" w:rsidP="004E2BDD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4E2BDD" w:rsidP="00E640D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South Wales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922C64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ethods of </w:t>
      </w:r>
      <w:r w:rsidR="0004051B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ravel to </w:t>
      </w:r>
      <w:r w:rsidR="0004051B">
        <w:rPr>
          <w:rFonts w:ascii="Arial" w:hAnsi="Arial" w:cs="Arial"/>
          <w:b/>
          <w:color w:val="000000" w:themeColor="text1"/>
          <w:sz w:val="28"/>
          <w:szCs w:val="28"/>
        </w:rPr>
        <w:t>W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551"/>
        <w:gridCol w:w="3260"/>
        <w:gridCol w:w="2835"/>
      </w:tblGrid>
      <w:tr w:rsidR="002A47EB" w:rsidRPr="008B58A5" w:rsidTr="002114B5"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548DD4" w:themeFill="text2" w:themeFillTint="99"/>
          </w:tcPr>
          <w:p w:rsidR="002A47EB" w:rsidRPr="002E42CC" w:rsidRDefault="002A47EB" w:rsidP="00D053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:rsidR="002A47EB" w:rsidRPr="002E42CC" w:rsidRDefault="002A47EB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RPr="008B58A5" w:rsidTr="002114B5">
        <w:tc>
          <w:tcPr>
            <w:tcW w:w="255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Pr="00DE547A" w:rsidRDefault="002A47EB" w:rsidP="00726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2A47EB" w:rsidRPr="002E42CC" w:rsidRDefault="002A47EB" w:rsidP="002114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</w:tr>
      <w:tr w:rsidR="004E2BDD" w:rsidRPr="008B58A5" w:rsidTr="002114B5"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1,807,358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(57.6%)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1,639,530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(56.4%)</w:t>
            </w:r>
          </w:p>
        </w:tc>
      </w:tr>
      <w:tr w:rsidR="004E2BDD" w:rsidRPr="008B58A5" w:rsidTr="002114B5"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Train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193,098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(6.2%)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158,002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(5.4%)</w:t>
            </w:r>
          </w:p>
        </w:tc>
      </w:tr>
      <w:tr w:rsidR="004E2BDD" w:rsidRPr="008B58A5" w:rsidTr="002114B5"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157,358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(5.0%)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166,870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(5.7%)</w:t>
            </w:r>
          </w:p>
        </w:tc>
      </w:tr>
      <w:tr w:rsidR="004E2BDD" w:rsidRPr="008B58A5" w:rsidTr="002114B5"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128,342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(4.1%)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127,442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(4.4%)</w:t>
            </w:r>
          </w:p>
        </w:tc>
      </w:tr>
      <w:tr w:rsidR="004E2BDD" w:rsidRPr="008B58A5" w:rsidTr="002114B5"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Bus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116,658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(3.7%)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100,058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(3.4%)</w:t>
            </w:r>
          </w:p>
        </w:tc>
      </w:tr>
      <w:tr w:rsidR="004E2BDD" w:rsidRPr="008B58A5" w:rsidTr="002114B5"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1561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3,138,332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2,909,444</w:t>
            </w:r>
            <w:r w:rsidR="00241B08" w:rsidRPr="002915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561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</w:tr>
    </w:tbl>
    <w:p w:rsidR="00EC5711" w:rsidRDefault="00EC5711" w:rsidP="00EC5711">
      <w:pPr>
        <w:rPr>
          <w:rFonts w:ascii="Arial" w:eastAsia="Times New Roman" w:hAnsi="Arial" w:cs="Arial"/>
          <w:color w:val="000000"/>
          <w:lang w:eastAsia="en-AU"/>
        </w:rPr>
      </w:pPr>
    </w:p>
    <w:p w:rsidR="004E2BDD" w:rsidRPr="003D734F" w:rsidRDefault="004E2BDD" w:rsidP="004E2BDD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Transport by car continues to be the most commonly reported method of travel to work. Almost two thirds (6</w:t>
      </w:r>
      <w:r w:rsidR="005225E2">
        <w:rPr>
          <w:rFonts w:ascii="Arial" w:hAnsi="Arial" w:cs="Arial"/>
          <w:b/>
          <w:bCs/>
          <w:color w:val="4181C0"/>
          <w:sz w:val="18"/>
          <w:szCs w:val="18"/>
        </w:rPr>
        <w:t>2.6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%) of employed persons reported that they travelled to work by 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>c</w:t>
      </w:r>
      <w:r>
        <w:rPr>
          <w:rFonts w:ascii="Arial" w:hAnsi="Arial" w:cs="Arial"/>
          <w:b/>
          <w:bCs/>
          <w:color w:val="4181C0"/>
          <w:sz w:val="18"/>
          <w:szCs w:val="18"/>
        </w:rPr>
        <w:t>ar (either as driver or a passenger) on 9 August 2011.</w:t>
      </w:r>
    </w:p>
    <w:p w:rsidR="004E2BDD" w:rsidRPr="003D734F" w:rsidRDefault="004E2BDD" w:rsidP="004E2BDD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number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of those who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travelled</w:t>
      </w:r>
      <w:r w:rsidR="004C044B">
        <w:rPr>
          <w:rFonts w:ascii="Arial" w:hAnsi="Arial" w:cs="Arial"/>
          <w:b/>
          <w:bCs/>
          <w:color w:val="4181C0"/>
          <w:sz w:val="18"/>
          <w:szCs w:val="18"/>
        </w:rPr>
        <w:t xml:space="preserve"> to work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by train 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has </w:t>
      </w:r>
      <w:r>
        <w:rPr>
          <w:rFonts w:ascii="Arial" w:hAnsi="Arial" w:cs="Arial"/>
          <w:b/>
          <w:bCs/>
          <w:color w:val="4181C0"/>
          <w:sz w:val="18"/>
          <w:szCs w:val="18"/>
        </w:rPr>
        <w:t>increased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158,002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5.4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%)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193,098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6.2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>%)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4E2BDD" w:rsidRPr="001F0AAF" w:rsidRDefault="004E2BDD" w:rsidP="004E2BDD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n-AU"/>
        </w:rPr>
      </w:pP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number 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of those who walked to work has </w:t>
      </w:r>
      <w:r>
        <w:rPr>
          <w:rFonts w:ascii="Arial" w:hAnsi="Arial" w:cs="Arial"/>
          <w:b/>
          <w:bCs/>
          <w:color w:val="4181C0"/>
          <w:sz w:val="18"/>
          <w:szCs w:val="18"/>
        </w:rPr>
        <w:t>increased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slightly from 127,442 in 2006 to 128,342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2011,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however the proportion of persons who walked to work has declined from 4.4% in 2006 to 4.1% in 2011 (reflecting a slower rate of growth compared to other forms of travel).</w:t>
      </w:r>
    </w:p>
    <w:p w:rsidR="00CE1624" w:rsidRPr="004E2BDD" w:rsidRDefault="00CE1624" w:rsidP="004E2BDD">
      <w:pPr>
        <w:rPr>
          <w:rFonts w:ascii="Arial" w:eastAsia="Times New Roman" w:hAnsi="Arial" w:cs="Arial"/>
          <w:color w:val="000000"/>
          <w:lang w:eastAsia="en-AU"/>
        </w:rPr>
      </w:pP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4E2BDD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New South Wales 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Pr="00577B41" w:rsidRDefault="00577B4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Place of </w:t>
      </w:r>
      <w:r w:rsidR="0004051B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U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sual </w:t>
      </w:r>
      <w:r w:rsidR="0004051B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R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esidence </w:t>
      </w:r>
      <w:r w:rsidR="0029156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one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 ago (all persons who moved</w:t>
      </w:r>
      <w:r w:rsidR="0029156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, excluding persons aged under one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year)</w:t>
      </w: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2551"/>
        <w:gridCol w:w="3261"/>
        <w:gridCol w:w="2976"/>
      </w:tblGrid>
      <w:tr w:rsidR="002A47EB" w:rsidTr="002114B5">
        <w:trPr>
          <w:trHeight w:val="340"/>
        </w:trPr>
        <w:tc>
          <w:tcPr>
            <w:tcW w:w="255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2114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2114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771,843 (81.6%)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765,776 (82.6%)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70,238 (7.4%)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63,514 (6.9%)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92,848 (9.8%)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88,556 (9.6%)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946,006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927,017 (100.0%)</w:t>
            </w:r>
          </w:p>
        </w:tc>
      </w:tr>
    </w:tbl>
    <w:p w:rsidR="006B4BFF" w:rsidRDefault="006B4BFF" w:rsidP="00EC5711">
      <w:pPr>
        <w:rPr>
          <w:rFonts w:ascii="Arial" w:hAnsi="Arial" w:cs="Arial"/>
          <w:b/>
        </w:rPr>
      </w:pPr>
    </w:p>
    <w:p w:rsidR="00CA2013" w:rsidRPr="001A582E" w:rsidRDefault="00CA2013" w:rsidP="00CA2013">
      <w:pPr>
        <w:pStyle w:val="ListParagraph"/>
        <w:numPr>
          <w:ilvl w:val="0"/>
          <w:numId w:val="3"/>
        </w:numPr>
        <w:ind w:left="587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New South Wales residents who moved in the year prior to the 2011 Census,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1A582E">
        <w:rPr>
          <w:rFonts w:ascii="Arial" w:hAnsi="Arial" w:cs="Arial"/>
          <w:b/>
          <w:bCs/>
          <w:color w:val="4181C0"/>
          <w:sz w:val="18"/>
          <w:szCs w:val="18"/>
        </w:rPr>
        <w:t xml:space="preserve">(81.6%). </w:t>
      </w:r>
    </w:p>
    <w:p w:rsidR="00CA2013" w:rsidRPr="00CA2013" w:rsidRDefault="00CA2013" w:rsidP="002114B5">
      <w:pPr>
        <w:pStyle w:val="ListParagraph"/>
        <w:numPr>
          <w:ilvl w:val="0"/>
          <w:numId w:val="3"/>
        </w:numPr>
        <w:ind w:left="587"/>
        <w:rPr>
          <w:rFonts w:ascii="Arial" w:hAnsi="Arial" w:cs="Arial"/>
          <w:b/>
          <w:bCs/>
          <w:color w:val="4181C0"/>
          <w:sz w:val="18"/>
          <w:szCs w:val="18"/>
        </w:rPr>
      </w:pPr>
      <w:r w:rsidRPr="00CA2013">
        <w:rPr>
          <w:rFonts w:ascii="Arial" w:hAnsi="Arial" w:cs="Arial"/>
          <w:b/>
          <w:bCs/>
          <w:color w:val="4181C0"/>
          <w:sz w:val="18"/>
          <w:szCs w:val="18"/>
        </w:rPr>
        <w:t xml:space="preserve">There were 92,848 (9.8%) of persons who had moved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New South Wales</w:t>
      </w:r>
      <w:r w:rsidRPr="00CA2013">
        <w:rPr>
          <w:rFonts w:ascii="Arial" w:hAnsi="Arial" w:cs="Arial"/>
          <w:b/>
          <w:bCs/>
          <w:color w:val="4181C0"/>
          <w:sz w:val="18"/>
          <w:szCs w:val="18"/>
        </w:rPr>
        <w:t xml:space="preserve"> from overseas in the year prior to 2011.</w:t>
      </w:r>
    </w:p>
    <w:p w:rsidR="00291561" w:rsidRDefault="0029156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577B41" w:rsidRPr="00577B41" w:rsidRDefault="00577B4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Place of </w:t>
      </w:r>
      <w:r w:rsidR="0004051B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U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sual </w:t>
      </w:r>
      <w:r w:rsidR="0004051B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R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esidence </w:t>
      </w:r>
      <w:r w:rsidR="00922C64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five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 ago (all persons who moved, excluding persons aged under </w:t>
      </w:r>
      <w:r w:rsidR="00922C64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five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years)</w:t>
      </w: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2551"/>
        <w:gridCol w:w="3261"/>
        <w:gridCol w:w="2976"/>
      </w:tblGrid>
      <w:tr w:rsidR="002A47EB" w:rsidTr="002114B5">
        <w:trPr>
          <w:trHeight w:val="340"/>
        </w:trPr>
        <w:tc>
          <w:tcPr>
            <w:tcW w:w="255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2114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2114B5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 xml:space="preserve">                1,832,678 (77.0%)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1,855,650 (80.0%)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171,143 (7.2%)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162,535 (7.0%)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349,110 (14.7%)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277,958 (12.0%)</w:t>
            </w:r>
          </w:p>
        </w:tc>
      </w:tr>
      <w:tr w:rsidR="004E2BDD" w:rsidTr="002114B5">
        <w:trPr>
          <w:trHeight w:val="340"/>
        </w:trPr>
        <w:tc>
          <w:tcPr>
            <w:tcW w:w="2551" w:type="dxa"/>
            <w:shd w:val="clear" w:color="auto" w:fill="8DB3E2" w:themeFill="text2" w:themeFillTint="66"/>
            <w:vAlign w:val="bottom"/>
          </w:tcPr>
          <w:p w:rsidR="004E2BDD" w:rsidRPr="00291561" w:rsidRDefault="004E2BDD" w:rsidP="002114B5">
            <w:pPr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2,380,678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4E2BDD" w:rsidRPr="00291561" w:rsidRDefault="004E2BDD" w:rsidP="002114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1561">
              <w:rPr>
                <w:rFonts w:ascii="Arial" w:hAnsi="Arial" w:cs="Arial"/>
                <w:sz w:val="18"/>
                <w:szCs w:val="18"/>
              </w:rPr>
              <w:t>2,321,298 (100.0%)</w:t>
            </w:r>
          </w:p>
        </w:tc>
      </w:tr>
    </w:tbl>
    <w:p w:rsidR="002A47EB" w:rsidRDefault="002A47EB" w:rsidP="002A47EB">
      <w:pPr>
        <w:rPr>
          <w:rFonts w:ascii="Arial" w:hAnsi="Arial" w:cs="Arial"/>
          <w:b/>
        </w:rPr>
      </w:pPr>
    </w:p>
    <w:p w:rsidR="00CA2013" w:rsidRPr="001A582E" w:rsidRDefault="00CA2013" w:rsidP="00CA2013">
      <w:pPr>
        <w:pStyle w:val="ListParagraph"/>
        <w:numPr>
          <w:ilvl w:val="0"/>
          <w:numId w:val="3"/>
        </w:numPr>
        <w:ind w:left="587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More than three quarters </w:t>
      </w:r>
      <w:r w:rsidRPr="001A582E">
        <w:rPr>
          <w:rFonts w:ascii="Arial" w:hAnsi="Arial" w:cs="Arial"/>
          <w:b/>
          <w:bCs/>
          <w:color w:val="4181C0"/>
          <w:sz w:val="18"/>
          <w:szCs w:val="18"/>
        </w:rPr>
        <w:t xml:space="preserve">(77.0%)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New South Wales residents who moved five years prior to the 2011 Census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State.</w:t>
      </w:r>
    </w:p>
    <w:p w:rsidR="00CA2013" w:rsidRPr="00CA2013" w:rsidRDefault="00CA2013" w:rsidP="002114B5">
      <w:pPr>
        <w:pStyle w:val="ListParagraph"/>
        <w:numPr>
          <w:ilvl w:val="0"/>
          <w:numId w:val="3"/>
        </w:numPr>
        <w:ind w:left="587"/>
        <w:rPr>
          <w:rFonts w:ascii="Arial" w:hAnsi="Arial" w:cs="Arial"/>
          <w:b/>
          <w:bCs/>
          <w:color w:val="4181C0"/>
          <w:sz w:val="18"/>
          <w:szCs w:val="18"/>
        </w:rPr>
      </w:pPr>
      <w:r w:rsidRPr="00CA2013">
        <w:rPr>
          <w:rFonts w:ascii="Arial" w:hAnsi="Arial" w:cs="Arial"/>
          <w:b/>
          <w:bCs/>
          <w:color w:val="4181C0"/>
          <w:sz w:val="18"/>
          <w:szCs w:val="18"/>
        </w:rPr>
        <w:t>There were 349,</w:t>
      </w:r>
      <w:r w:rsidR="005161B5">
        <w:rPr>
          <w:rFonts w:ascii="Arial" w:hAnsi="Arial" w:cs="Arial"/>
          <w:b/>
          <w:bCs/>
          <w:color w:val="4181C0"/>
          <w:sz w:val="18"/>
          <w:szCs w:val="18"/>
        </w:rPr>
        <w:t>1</w:t>
      </w:r>
      <w:bookmarkStart w:id="0" w:name="_GoBack"/>
      <w:bookmarkEnd w:id="0"/>
      <w:r w:rsidRPr="00CA2013">
        <w:rPr>
          <w:rFonts w:ascii="Arial" w:hAnsi="Arial" w:cs="Arial"/>
          <w:b/>
          <w:bCs/>
          <w:color w:val="4181C0"/>
          <w:sz w:val="18"/>
          <w:szCs w:val="18"/>
        </w:rPr>
        <w:t xml:space="preserve">10 (14.7%) of persons who had moved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New South Wales</w:t>
      </w:r>
      <w:r w:rsidRPr="00CA2013">
        <w:rPr>
          <w:rFonts w:ascii="Arial" w:hAnsi="Arial" w:cs="Arial"/>
          <w:b/>
          <w:bCs/>
          <w:color w:val="4181C0"/>
          <w:sz w:val="18"/>
          <w:szCs w:val="18"/>
        </w:rPr>
        <w:t xml:space="preserve"> from overseas five years prior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CA2013">
        <w:rPr>
          <w:rFonts w:ascii="Arial" w:hAnsi="Arial" w:cs="Arial"/>
          <w:b/>
          <w:bCs/>
          <w:color w:val="4181C0"/>
          <w:sz w:val="18"/>
          <w:szCs w:val="18"/>
        </w:rPr>
        <w:t>2011 Census.</w:t>
      </w:r>
    </w:p>
    <w:p w:rsidR="002A47EB" w:rsidRDefault="002A47EB" w:rsidP="004E2BDD">
      <w:pPr>
        <w:ind w:left="360"/>
      </w:pPr>
    </w:p>
    <w:sectPr w:rsidR="002A47EB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13" w:rsidRDefault="00E54113" w:rsidP="00FB2000">
      <w:pPr>
        <w:spacing w:after="0" w:line="240" w:lineRule="auto"/>
      </w:pPr>
      <w:r>
        <w:separator/>
      </w:r>
    </w:p>
  </w:endnote>
  <w:endnote w:type="continuationSeparator" w:id="0">
    <w:p w:rsidR="00E54113" w:rsidRDefault="00E54113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13" w:rsidRDefault="00E5411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A1A6035" wp14:editId="60E9BEF2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4113" w:rsidRDefault="00E54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13" w:rsidRDefault="00E54113" w:rsidP="00FB2000">
      <w:pPr>
        <w:spacing w:after="0" w:line="240" w:lineRule="auto"/>
      </w:pPr>
      <w:r>
        <w:separator/>
      </w:r>
    </w:p>
  </w:footnote>
  <w:footnote w:type="continuationSeparator" w:id="0">
    <w:p w:rsidR="00E54113" w:rsidRDefault="00E54113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13" w:rsidRDefault="00E5411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D9F6438" wp14:editId="16D4BB19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54113" w:rsidRDefault="00E541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6BB8E8CC"/>
    <w:lvl w:ilvl="0" w:tplc="5D7CC50A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708"/>
    <w:multiLevelType w:val="hybridMultilevel"/>
    <w:tmpl w:val="333E4DA4"/>
    <w:lvl w:ilvl="0" w:tplc="2522F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24D3"/>
    <w:multiLevelType w:val="hybridMultilevel"/>
    <w:tmpl w:val="1534D5B6"/>
    <w:lvl w:ilvl="0" w:tplc="4FEED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715C8"/>
    <w:multiLevelType w:val="hybridMultilevel"/>
    <w:tmpl w:val="5968754E"/>
    <w:lvl w:ilvl="0" w:tplc="CCC8BC1C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B158E"/>
    <w:multiLevelType w:val="hybridMultilevel"/>
    <w:tmpl w:val="299A43FA"/>
    <w:lvl w:ilvl="0" w:tplc="325E932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051B"/>
    <w:rsid w:val="00041104"/>
    <w:rsid w:val="0004210F"/>
    <w:rsid w:val="000440A8"/>
    <w:rsid w:val="00061793"/>
    <w:rsid w:val="00072012"/>
    <w:rsid w:val="000772DD"/>
    <w:rsid w:val="00091772"/>
    <w:rsid w:val="000A0AA0"/>
    <w:rsid w:val="000B0EEA"/>
    <w:rsid w:val="000B6B37"/>
    <w:rsid w:val="000C3003"/>
    <w:rsid w:val="000E619A"/>
    <w:rsid w:val="001222EF"/>
    <w:rsid w:val="0012464C"/>
    <w:rsid w:val="00126662"/>
    <w:rsid w:val="00142FDA"/>
    <w:rsid w:val="00195295"/>
    <w:rsid w:val="001A320D"/>
    <w:rsid w:val="001B4E57"/>
    <w:rsid w:val="001B6491"/>
    <w:rsid w:val="001C3BDA"/>
    <w:rsid w:val="001C5AD9"/>
    <w:rsid w:val="001D5700"/>
    <w:rsid w:val="00200A52"/>
    <w:rsid w:val="002114B5"/>
    <w:rsid w:val="00220FEC"/>
    <w:rsid w:val="002236FF"/>
    <w:rsid w:val="00233455"/>
    <w:rsid w:val="0023602E"/>
    <w:rsid w:val="00241B08"/>
    <w:rsid w:val="00242F9D"/>
    <w:rsid w:val="0027431A"/>
    <w:rsid w:val="00276567"/>
    <w:rsid w:val="00291561"/>
    <w:rsid w:val="002A47EB"/>
    <w:rsid w:val="002C53F7"/>
    <w:rsid w:val="002C7E64"/>
    <w:rsid w:val="002E398F"/>
    <w:rsid w:val="002E495F"/>
    <w:rsid w:val="002F75D9"/>
    <w:rsid w:val="00316B73"/>
    <w:rsid w:val="00323396"/>
    <w:rsid w:val="00323637"/>
    <w:rsid w:val="00336FAE"/>
    <w:rsid w:val="00343E6A"/>
    <w:rsid w:val="00344F14"/>
    <w:rsid w:val="003504A3"/>
    <w:rsid w:val="00351CE8"/>
    <w:rsid w:val="003836C7"/>
    <w:rsid w:val="003E7905"/>
    <w:rsid w:val="003F1FA6"/>
    <w:rsid w:val="0040658F"/>
    <w:rsid w:val="00430AF6"/>
    <w:rsid w:val="00433831"/>
    <w:rsid w:val="00442F63"/>
    <w:rsid w:val="00453A95"/>
    <w:rsid w:val="004752F8"/>
    <w:rsid w:val="004B1834"/>
    <w:rsid w:val="004C044B"/>
    <w:rsid w:val="004E2BDD"/>
    <w:rsid w:val="004F0023"/>
    <w:rsid w:val="00501823"/>
    <w:rsid w:val="00507121"/>
    <w:rsid w:val="0051406F"/>
    <w:rsid w:val="005161B5"/>
    <w:rsid w:val="00520693"/>
    <w:rsid w:val="005225E2"/>
    <w:rsid w:val="0054273D"/>
    <w:rsid w:val="0056133B"/>
    <w:rsid w:val="00576A85"/>
    <w:rsid w:val="00577B41"/>
    <w:rsid w:val="00584AA0"/>
    <w:rsid w:val="00594664"/>
    <w:rsid w:val="005C1188"/>
    <w:rsid w:val="005C397A"/>
    <w:rsid w:val="005D2935"/>
    <w:rsid w:val="005D2C2E"/>
    <w:rsid w:val="00604ABE"/>
    <w:rsid w:val="006101A3"/>
    <w:rsid w:val="006232AE"/>
    <w:rsid w:val="006250FC"/>
    <w:rsid w:val="00677868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8221E1"/>
    <w:rsid w:val="00830BD8"/>
    <w:rsid w:val="0085196E"/>
    <w:rsid w:val="008522F8"/>
    <w:rsid w:val="00864EA7"/>
    <w:rsid w:val="00891224"/>
    <w:rsid w:val="008B2ACC"/>
    <w:rsid w:val="008B58A5"/>
    <w:rsid w:val="008C1667"/>
    <w:rsid w:val="008F2036"/>
    <w:rsid w:val="009135CC"/>
    <w:rsid w:val="00913D3B"/>
    <w:rsid w:val="0091653E"/>
    <w:rsid w:val="00922C64"/>
    <w:rsid w:val="00936274"/>
    <w:rsid w:val="00964903"/>
    <w:rsid w:val="00974250"/>
    <w:rsid w:val="009A0023"/>
    <w:rsid w:val="009C247B"/>
    <w:rsid w:val="009D6D94"/>
    <w:rsid w:val="009F6152"/>
    <w:rsid w:val="009F7CC6"/>
    <w:rsid w:val="00A11293"/>
    <w:rsid w:val="00A3360E"/>
    <w:rsid w:val="00A43D36"/>
    <w:rsid w:val="00A517E5"/>
    <w:rsid w:val="00A57632"/>
    <w:rsid w:val="00A833A0"/>
    <w:rsid w:val="00B01E2F"/>
    <w:rsid w:val="00B27D30"/>
    <w:rsid w:val="00B5694C"/>
    <w:rsid w:val="00B63DE0"/>
    <w:rsid w:val="00B750A3"/>
    <w:rsid w:val="00B80E78"/>
    <w:rsid w:val="00B82E86"/>
    <w:rsid w:val="00B83D07"/>
    <w:rsid w:val="00B84AA5"/>
    <w:rsid w:val="00B91540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6BAA"/>
    <w:rsid w:val="00CA2013"/>
    <w:rsid w:val="00CB16F9"/>
    <w:rsid w:val="00CD0C2E"/>
    <w:rsid w:val="00CD1E23"/>
    <w:rsid w:val="00CE1624"/>
    <w:rsid w:val="00CF489B"/>
    <w:rsid w:val="00D0532D"/>
    <w:rsid w:val="00D11767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E3C33"/>
    <w:rsid w:val="00DE547A"/>
    <w:rsid w:val="00E27405"/>
    <w:rsid w:val="00E37E85"/>
    <w:rsid w:val="00E54113"/>
    <w:rsid w:val="00E640DC"/>
    <w:rsid w:val="00E73B8B"/>
    <w:rsid w:val="00E7764E"/>
    <w:rsid w:val="00E85F97"/>
    <w:rsid w:val="00E8695A"/>
    <w:rsid w:val="00EA1905"/>
    <w:rsid w:val="00EC5711"/>
    <w:rsid w:val="00F86539"/>
    <w:rsid w:val="00FB2000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ABFD-0E91-4454-8EB5-45EDF692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26</TotalTime>
  <Pages>8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4</cp:revision>
  <cp:lastPrinted>2012-10-29T03:18:00Z</cp:lastPrinted>
  <dcterms:created xsi:type="dcterms:W3CDTF">2012-10-22T06:14:00Z</dcterms:created>
  <dcterms:modified xsi:type="dcterms:W3CDTF">2012-10-29T03:39:00Z</dcterms:modified>
</cp:coreProperties>
</file>